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5BB6" w14:textId="77777777" w:rsidR="00F33AA0" w:rsidRPr="00F33AA0" w:rsidRDefault="00F33AA0" w:rsidP="00F33A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8</w:t>
      </w:r>
    </w:p>
    <w:p w14:paraId="75953CE4" w14:textId="77777777" w:rsidR="00F33AA0" w:rsidRPr="00F33AA0" w:rsidRDefault="00F33AA0" w:rsidP="00F33A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794DE69E" w14:textId="77777777" w:rsidR="00F33AA0" w:rsidRPr="00F33AA0" w:rsidRDefault="00F33AA0" w:rsidP="00F33A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3C953BE7" w14:textId="77777777" w:rsidR="00F33AA0" w:rsidRPr="00F33AA0" w:rsidRDefault="00F33AA0" w:rsidP="00F33A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4427D42D" w14:textId="77777777" w:rsidR="00F33AA0" w:rsidRPr="00F33AA0" w:rsidRDefault="00F33AA0" w:rsidP="00F33AA0">
      <w:pPr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47039239" w14:textId="77777777" w:rsidR="00F33AA0" w:rsidRPr="00F33AA0" w:rsidRDefault="00F33AA0" w:rsidP="00F33A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6F0D604F" w14:textId="77777777" w:rsidR="00F33AA0" w:rsidRPr="00F33AA0" w:rsidRDefault="00F33AA0" w:rsidP="00F33AA0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F33AA0">
        <w:rPr>
          <w:rFonts w:ascii="Arial" w:eastAsia="Times New Roman" w:hAnsi="Arial" w:cs="Arial"/>
          <w:b/>
          <w:kern w:val="0"/>
          <w:lang w:eastAsia="ru-RU"/>
          <w14:ligatures w14:val="none"/>
        </w:rPr>
        <w:t xml:space="preserve">Программа муниципальных внешних заимствований </w:t>
      </w:r>
    </w:p>
    <w:p w14:paraId="6F349B1A" w14:textId="77777777" w:rsidR="00F33AA0" w:rsidRPr="00F33AA0" w:rsidRDefault="00F33AA0" w:rsidP="00F33AA0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F33AA0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502F1D92" w14:textId="77777777" w:rsidR="00F33AA0" w:rsidRPr="00F33AA0" w:rsidRDefault="00F33AA0" w:rsidP="00F33AA0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F33AA0">
        <w:rPr>
          <w:rFonts w:ascii="Arial" w:eastAsia="Times New Roman" w:hAnsi="Arial" w:cs="Arial"/>
          <w:b/>
          <w:kern w:val="0"/>
          <w:lang w:eastAsia="ru-RU"/>
          <w14:ligatures w14:val="none"/>
        </w:rPr>
        <w:t>на 2025 год и плановый период 2026 и 2027 годов</w:t>
      </w:r>
    </w:p>
    <w:p w14:paraId="3A8E3DE2" w14:textId="77777777" w:rsidR="00F33AA0" w:rsidRPr="00F33AA0" w:rsidRDefault="00F33AA0" w:rsidP="00F33AA0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lang w:eastAsia="ru-RU"/>
          <w14:ligatures w14:val="none"/>
        </w:rPr>
      </w:pPr>
    </w:p>
    <w:p w14:paraId="7DE8EAC1" w14:textId="77777777" w:rsidR="00F33AA0" w:rsidRPr="00F33AA0" w:rsidRDefault="00F33AA0" w:rsidP="00F33AA0">
      <w:pPr>
        <w:keepNext/>
        <w:spacing w:after="120" w:line="240" w:lineRule="auto"/>
        <w:ind w:left="56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I. Привлечение </w:t>
      </w:r>
      <w:r w:rsidRPr="00F33AA0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 xml:space="preserve">средств </w:t>
      </w: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>в 2025 году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80"/>
        <w:gridCol w:w="2551"/>
        <w:gridCol w:w="2552"/>
        <w:gridCol w:w="1984"/>
      </w:tblGrid>
      <w:tr w:rsidR="00F33AA0" w:rsidRPr="00F33AA0" w14:paraId="1D154B97" w14:textId="77777777" w:rsidTr="00B742DD">
        <w:trPr>
          <w:trHeight w:val="119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E47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6DA" w14:textId="77777777" w:rsidR="00F33AA0" w:rsidRPr="00F33AA0" w:rsidRDefault="00F33AA0" w:rsidP="00F33AA0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F33AA0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D2D1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 единиц)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698E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 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26F5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F33AA0" w:rsidRPr="00F33AA0" w14:paraId="365BE3A5" w14:textId="77777777" w:rsidTr="00B742DD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9760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2E91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1B6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6F35" w14:textId="77777777" w:rsidR="00F33AA0" w:rsidRPr="00F33AA0" w:rsidRDefault="00F33AA0" w:rsidP="00F33AA0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3805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33AA0" w:rsidRPr="00F33AA0" w14:paraId="2824CF37" w14:textId="77777777" w:rsidTr="00B742DD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3E2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F839" w14:textId="77777777" w:rsidR="00F33AA0" w:rsidRPr="00F33AA0" w:rsidRDefault="00F33AA0" w:rsidP="00F33AA0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9E1D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EAA" w14:textId="77777777" w:rsidR="00F33AA0" w:rsidRPr="00F33AA0" w:rsidRDefault="00F33AA0" w:rsidP="00F33AA0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E1B0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272E4640" w14:textId="77777777" w:rsidR="00F33AA0" w:rsidRPr="00F33AA0" w:rsidRDefault="00F33AA0" w:rsidP="00F33A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549D3DA" w14:textId="77777777" w:rsidR="00F33AA0" w:rsidRPr="00F33AA0" w:rsidRDefault="00F33AA0" w:rsidP="00F33AA0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US" w:eastAsia="ru-RU"/>
          <w14:ligatures w14:val="none"/>
        </w:rPr>
        <w:t>II</w:t>
      </w: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. Погашение </w:t>
      </w:r>
      <w:r w:rsidRPr="00F33AA0">
        <w:rPr>
          <w:rFonts w:ascii="Arial" w:eastAsia="Calibri" w:hAnsi="Arial" w:cs="Arial"/>
          <w:snapToGrid w:val="0"/>
          <w:kern w:val="0"/>
          <w:sz w:val="20"/>
          <w:szCs w:val="20"/>
          <w14:ligatures w14:val="none"/>
        </w:rPr>
        <w:t>долговых обязательств</w:t>
      </w: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 в 2025 году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976"/>
        <w:gridCol w:w="3544"/>
        <w:gridCol w:w="3119"/>
      </w:tblGrid>
      <w:tr w:rsidR="00F33AA0" w:rsidRPr="00F33AA0" w14:paraId="6D947717" w14:textId="77777777" w:rsidTr="00B742DD">
        <w:trPr>
          <w:trHeight w:val="105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1A6C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A554" w14:textId="77777777" w:rsidR="00F33AA0" w:rsidRPr="00F33AA0" w:rsidRDefault="00F33AA0" w:rsidP="00F33AA0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F33AA0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90B6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>Объем погашения долговых обязательств (тыс. единиц)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6013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Объем погашения </w:t>
            </w:r>
            <w:r w:rsidRPr="00F33AA0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 xml:space="preserve">долговых обязательств </w:t>
            </w: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(тыс. рублей)</w:t>
            </w:r>
          </w:p>
        </w:tc>
      </w:tr>
      <w:tr w:rsidR="00F33AA0" w:rsidRPr="00F33AA0" w14:paraId="7CFBA084" w14:textId="77777777" w:rsidTr="00B742DD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46A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879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CE70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686B" w14:textId="77777777" w:rsidR="00F33AA0" w:rsidRPr="00F33AA0" w:rsidRDefault="00F33AA0" w:rsidP="00F33AA0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33AA0" w:rsidRPr="00F33AA0" w14:paraId="31AFBCA1" w14:textId="77777777" w:rsidTr="00B742DD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B60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B2CB" w14:textId="77777777" w:rsidR="00F33AA0" w:rsidRPr="00F33AA0" w:rsidRDefault="00F33AA0" w:rsidP="00F33AA0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E551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0E3" w14:textId="77777777" w:rsidR="00F33AA0" w:rsidRPr="00F33AA0" w:rsidRDefault="00F33AA0" w:rsidP="00F33AA0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3DE42DC0" w14:textId="77777777" w:rsidR="00F33AA0" w:rsidRPr="00F33AA0" w:rsidRDefault="00F33AA0" w:rsidP="00F33AA0">
      <w:pPr>
        <w:keepNext/>
        <w:tabs>
          <w:tab w:val="left" w:pos="1215"/>
        </w:tabs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</w:p>
    <w:p w14:paraId="75BC009A" w14:textId="77777777" w:rsidR="00F33AA0" w:rsidRPr="00F33AA0" w:rsidRDefault="00F33AA0" w:rsidP="00F33AA0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>I</w:t>
      </w: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US" w:eastAsia="ru-RU"/>
          <w14:ligatures w14:val="none"/>
        </w:rPr>
        <w:t>II</w:t>
      </w: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. Привлечение </w:t>
      </w:r>
      <w:r w:rsidRPr="00F33AA0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средств</w:t>
      </w:r>
      <w:r w:rsidRPr="00F33AA0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eastAsia="ru-RU"/>
          <w14:ligatures w14:val="none"/>
        </w:rPr>
        <w:t xml:space="preserve"> в 2026 и 2027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13"/>
        <w:gridCol w:w="1276"/>
        <w:gridCol w:w="1275"/>
        <w:gridCol w:w="1276"/>
        <w:gridCol w:w="1276"/>
        <w:gridCol w:w="1276"/>
        <w:gridCol w:w="1247"/>
      </w:tblGrid>
      <w:tr w:rsidR="00F33AA0" w:rsidRPr="00F33AA0" w14:paraId="57E926E3" w14:textId="77777777" w:rsidTr="00B742DD">
        <w:trPr>
          <w:trHeight w:val="109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1CB0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78D0" w14:textId="77777777" w:rsidR="00F33AA0" w:rsidRPr="00F33AA0" w:rsidRDefault="00F33AA0" w:rsidP="00F33AA0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F33AA0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41D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 единиц)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715A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Объем привлечения средств в бюджет (тыс. рублей)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43FC" w14:textId="77777777" w:rsidR="00F33AA0" w:rsidRPr="00F33AA0" w:rsidRDefault="00F33AA0" w:rsidP="00F33AA0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F33AA0" w:rsidRPr="00F33AA0" w14:paraId="0AECF226" w14:textId="77777777" w:rsidTr="00B742DD">
        <w:trPr>
          <w:trHeight w:val="39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B48C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FC7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EC17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FF81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C6D7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EAD1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1D0F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86B7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</w:tr>
      <w:tr w:rsidR="00F33AA0" w:rsidRPr="00F33AA0" w14:paraId="240226EE" w14:textId="77777777" w:rsidTr="00B742DD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6336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EC6E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FB53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5DF2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C8A2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BFC7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EF5D" w14:textId="77777777" w:rsidR="00F33AA0" w:rsidRPr="00F33AA0" w:rsidRDefault="00F33AA0" w:rsidP="00F33AA0">
            <w:pPr>
              <w:tabs>
                <w:tab w:val="center" w:pos="530"/>
                <w:tab w:val="left" w:pos="1050"/>
              </w:tabs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93DB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33AA0" w:rsidRPr="00F33AA0" w14:paraId="2FBFB3DD" w14:textId="77777777" w:rsidTr="00B742DD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14C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A300" w14:textId="77777777" w:rsidR="00F33AA0" w:rsidRPr="00F33AA0" w:rsidRDefault="00F33AA0" w:rsidP="00F33AA0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1F27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C8B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4E04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A7CD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44BB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AEF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6863F23C" w14:textId="77777777" w:rsidR="00F33AA0" w:rsidRPr="00F33AA0" w:rsidRDefault="00F33AA0" w:rsidP="00F33AA0">
      <w:pPr>
        <w:keepNext/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D50D68A" w14:textId="77777777" w:rsidR="00F33AA0" w:rsidRPr="00F33AA0" w:rsidRDefault="00F33AA0" w:rsidP="00F33AA0">
      <w:pPr>
        <w:keepNext/>
        <w:spacing w:after="120" w:line="240" w:lineRule="auto"/>
        <w:ind w:left="284" w:right="-51"/>
        <w:jc w:val="center"/>
        <w:outlineLvl w:val="5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 w:rsidRPr="00F33AA0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I</w:t>
      </w:r>
      <w:r w:rsidRPr="00F33AA0">
        <w:rPr>
          <w:rFonts w:ascii="Arial" w:eastAsia="Times New Roman" w:hAnsi="Arial" w:cs="Arial"/>
          <w:bCs/>
          <w:kern w:val="0"/>
          <w:sz w:val="20"/>
          <w:szCs w:val="20"/>
          <w:lang w:val="en-US" w:eastAsia="ru-RU"/>
          <w14:ligatures w14:val="none"/>
        </w:rPr>
        <w:t>V</w:t>
      </w:r>
      <w:r w:rsidRPr="00F33AA0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 xml:space="preserve">. Погашение </w:t>
      </w:r>
      <w:r w:rsidRPr="00F33AA0">
        <w:rPr>
          <w:rFonts w:ascii="Arial" w:eastAsia="Calibri" w:hAnsi="Arial" w:cs="Arial"/>
          <w:kern w:val="0"/>
          <w:sz w:val="20"/>
          <w:szCs w:val="20"/>
          <w14:ligatures w14:val="none"/>
        </w:rPr>
        <w:t>долговых обязательств</w:t>
      </w:r>
      <w:r w:rsidRPr="00F33AA0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 xml:space="preserve"> в 2026 и 2027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922"/>
        <w:gridCol w:w="1701"/>
        <w:gridCol w:w="1418"/>
        <w:gridCol w:w="1683"/>
        <w:gridCol w:w="1861"/>
      </w:tblGrid>
      <w:tr w:rsidR="00F33AA0" w:rsidRPr="00F33AA0" w14:paraId="268F4A83" w14:textId="77777777" w:rsidTr="00B742DD">
        <w:trPr>
          <w:trHeight w:val="71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57CF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№</w:t>
            </w: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45A" w14:textId="77777777" w:rsidR="00F33AA0" w:rsidRPr="00F33AA0" w:rsidRDefault="00F33AA0" w:rsidP="00F33AA0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Виды </w:t>
            </w:r>
            <w:r w:rsidRPr="00F33AA0"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45C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>Объем погашения долговых обязательств (</w:t>
            </w: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тыс. единиц)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BD39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Объем погашения </w:t>
            </w:r>
            <w:r w:rsidRPr="00F33AA0">
              <w:rPr>
                <w:rFonts w:ascii="Arial" w:eastAsia="BatangChe" w:hAnsi="Arial" w:cs="Arial"/>
                <w:bCs/>
                <w:kern w:val="0"/>
                <w:sz w:val="20"/>
                <w:szCs w:val="20"/>
                <w14:ligatures w14:val="none"/>
              </w:rPr>
              <w:t xml:space="preserve">долговых обязательств </w:t>
            </w:r>
          </w:p>
          <w:p w14:paraId="784913F3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(тыс. рублей)</w:t>
            </w:r>
          </w:p>
        </w:tc>
      </w:tr>
      <w:tr w:rsidR="00F33AA0" w:rsidRPr="00F33AA0" w14:paraId="5FCE7FF4" w14:textId="77777777" w:rsidTr="00B742DD">
        <w:trPr>
          <w:trHeight w:val="403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988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9D5C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9BEE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B434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1851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A4B5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</w:tr>
      <w:tr w:rsidR="00F33AA0" w:rsidRPr="00F33AA0" w14:paraId="3A6EC2DF" w14:textId="77777777" w:rsidTr="00B742DD">
        <w:trPr>
          <w:trHeight w:val="2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A96E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A91E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BAAB" w14:textId="77777777" w:rsidR="00F33AA0" w:rsidRPr="00F33AA0" w:rsidRDefault="00F33AA0" w:rsidP="00F33AA0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F2A2" w14:textId="77777777" w:rsidR="00F33AA0" w:rsidRPr="00F33AA0" w:rsidRDefault="00F33AA0" w:rsidP="00F33AA0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19C1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BFFB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F33AA0" w:rsidRPr="00F33AA0" w14:paraId="396430A9" w14:textId="77777777" w:rsidTr="00B742DD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1D0" w14:textId="77777777" w:rsidR="00F33AA0" w:rsidRPr="00F33AA0" w:rsidRDefault="00F33AA0" w:rsidP="00F33AA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595F" w14:textId="77777777" w:rsidR="00F33AA0" w:rsidRPr="00F33AA0" w:rsidRDefault="00F33AA0" w:rsidP="00F33AA0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5F11" w14:textId="77777777" w:rsidR="00F33AA0" w:rsidRPr="00F33AA0" w:rsidRDefault="00F33AA0" w:rsidP="00F33AA0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294" w14:textId="77777777" w:rsidR="00F33AA0" w:rsidRPr="00F33AA0" w:rsidRDefault="00F33AA0" w:rsidP="00F33AA0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7278" w14:textId="77777777" w:rsidR="00F33AA0" w:rsidRPr="00F33AA0" w:rsidRDefault="00F33AA0" w:rsidP="00F33AA0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31A" w14:textId="77777777" w:rsidR="00F33AA0" w:rsidRPr="00F33AA0" w:rsidRDefault="00F33AA0" w:rsidP="00F33AA0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3A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0D3F9267" w14:textId="77777777" w:rsidR="00F33AA0" w:rsidRDefault="00F33AA0"/>
    <w:sectPr w:rsidR="00F3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A0"/>
    <w:rsid w:val="00410F84"/>
    <w:rsid w:val="008F1CB2"/>
    <w:rsid w:val="00F3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DA37"/>
  <w15:chartTrackingRefBased/>
  <w15:docId w15:val="{5212F0E4-AAB4-410A-8FC8-442DAC8C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A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A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A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3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2026-01-13T13:07:00Z</dcterms:modified>
</cp:coreProperties>
</file>